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2305050</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DA111D" w:rsidRDefault="00DA111D" w:rsidP="00DA111D">
                            <w:pPr>
                              <w:jc w:val="right"/>
                              <w:rPr>
                                <w:color w:val="FFFFFF" w:themeColor="background1"/>
                                <w:sz w:val="36"/>
                                <w:szCs w:val="36"/>
                              </w:rPr>
                            </w:pPr>
                            <w:bookmarkStart w:id="0" w:name="_GoBack"/>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bookmarkEnd w:id="0"/>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1.5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" fillcolor="#9bbb59" stroked="f">
                <v:textbox>
                  <w:txbxContent>
                    <w:p w:rsidR="00DA111D" w:rsidRDefault="00DA111D" w:rsidP="00DA111D">
                      <w:pPr>
                        <w:jc w:val="right"/>
                        <w:rPr>
                          <w:color w:val="FFFFFF" w:themeColor="background1"/>
                          <w:sz w:val="36"/>
                          <w:szCs w:val="36"/>
                        </w:rPr>
                      </w:pPr>
                      <w:bookmarkStart w:id="1" w:name="_GoBack"/>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bookmarkEnd w:id="1"/>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CF69DD" w:rsidRPr="000E483D">
              <w:rPr>
                <w:noProof/>
                <w:sz w:val="18"/>
              </w:rPr>
              <w:t>NIAB/S&amp;P/2013-14/54</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CF69DD" w:rsidRPr="000E483D">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CF69DD" w:rsidRPr="000E483D">
              <w:rPr>
                <w:b/>
                <w:noProof/>
                <w:sz w:val="28"/>
                <w:u w:val="single"/>
              </w:rPr>
              <w:t>UV Trans-illuminator</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CF69DD">
              <w:rPr>
                <w:noProof/>
              </w:rPr>
              <w:t>2</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CF69DD">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CF69DD" w:rsidRPr="000E483D">
              <w:rPr>
                <w:b/>
                <w:noProof/>
                <w:sz w:val="22"/>
                <w:szCs w:val="22"/>
              </w:rPr>
              <w:t>NIAB/S&amp;P/2013-14/54</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CF69DD" w:rsidRPr="000E483D">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CF69DD" w:rsidRPr="000E483D">
              <w:rPr>
                <w:b/>
                <w:noProof/>
                <w:sz w:val="22"/>
                <w:szCs w:val="22"/>
              </w:rPr>
              <w:t>UV Trans-illuminator</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CF69DD" w:rsidRPr="000E483D">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CF69DD" w:rsidRPr="000E483D">
              <w:rPr>
                <w:b/>
                <w:noProof/>
                <w:sz w:val="22"/>
                <w:szCs w:val="22"/>
              </w:rPr>
              <w:t>10000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CF69DD" w:rsidRPr="000E483D">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CF69DD" w:rsidRPr="000E483D">
              <w:rPr>
                <w:noProof/>
                <w:sz w:val="22"/>
                <w:szCs w:val="22"/>
              </w:rPr>
              <w:t>13/08/2013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CF69DD" w:rsidRPr="000E483D">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CF69DD" w:rsidRPr="000E483D">
              <w:rPr>
                <w:b/>
                <w:noProof/>
                <w:sz w:val="22"/>
              </w:rPr>
              <w:t>NIAB/S&amp;P/2013-14/54</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CF69DD" w:rsidRPr="000E483D">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CF69DD" w:rsidRPr="000E483D">
              <w:rPr>
                <w:b/>
                <w:noProof/>
                <w:sz w:val="36"/>
              </w:rPr>
              <w:t>UV Trans-illuminator</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2" w:name="page7"/>
      <w:bookmarkEnd w:id="2"/>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3" w:name="page11"/>
      <w:bookmarkEnd w:id="3"/>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4" w:name="page13"/>
      <w:bookmarkEnd w:id="4"/>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5" w:name="page17"/>
      <w:bookmarkEnd w:id="5"/>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6" w:name="page19"/>
      <w:bookmarkEnd w:id="6"/>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7" w:name="page21"/>
      <w:bookmarkEnd w:id="7"/>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CF69DD" w:rsidRDefault="00CF69DD" w:rsidP="00CF69DD">
      <w:pPr>
        <w:jc w:val="center"/>
        <w:rPr>
          <w:b/>
          <w:sz w:val="32"/>
          <w:szCs w:val="32"/>
          <w:u w:val="single"/>
        </w:rPr>
      </w:pPr>
      <w:r>
        <w:tab/>
      </w:r>
    </w:p>
    <w:p w:rsidR="00CF69DD" w:rsidRDefault="00CF69DD" w:rsidP="00CF69DD">
      <w:pPr>
        <w:jc w:val="center"/>
        <w:rPr>
          <w:b/>
          <w:sz w:val="32"/>
          <w:szCs w:val="32"/>
          <w:u w:val="single"/>
        </w:rPr>
      </w:pPr>
    </w:p>
    <w:p w:rsidR="00CF69DD" w:rsidRPr="00963311" w:rsidRDefault="00CF69DD" w:rsidP="00CF69DD">
      <w:pPr>
        <w:jc w:val="center"/>
        <w:rPr>
          <w:b/>
          <w:sz w:val="32"/>
          <w:szCs w:val="32"/>
          <w:u w:val="single"/>
        </w:rPr>
      </w:pPr>
      <w:r w:rsidRPr="00963311">
        <w:rPr>
          <w:b/>
          <w:sz w:val="32"/>
          <w:szCs w:val="32"/>
          <w:u w:val="single"/>
        </w:rPr>
        <w:t xml:space="preserve">Specifications for UV </w:t>
      </w:r>
      <w:proofErr w:type="spellStart"/>
      <w:r w:rsidRPr="00963311">
        <w:rPr>
          <w:b/>
          <w:sz w:val="32"/>
          <w:szCs w:val="32"/>
          <w:u w:val="single"/>
        </w:rPr>
        <w:t>Transilluminator</w:t>
      </w:r>
      <w:proofErr w:type="spellEnd"/>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 have Viewing</w:t>
      </w:r>
      <w:r w:rsidRPr="00963311">
        <w:rPr>
          <w:rFonts w:cs="Calibri"/>
          <w:lang w:eastAsia="en-IN"/>
        </w:rPr>
        <w:t xml:space="preserve"> size </w:t>
      </w:r>
      <w:r>
        <w:rPr>
          <w:rFonts w:cs="Calibri"/>
          <w:lang w:eastAsia="en-IN"/>
        </w:rPr>
        <w:t>of approx. 21</w:t>
      </w:r>
      <w:r w:rsidRPr="00963311">
        <w:rPr>
          <w:rFonts w:cs="Calibri"/>
          <w:lang w:eastAsia="en-IN"/>
        </w:rPr>
        <w:t xml:space="preserve"> cm x </w:t>
      </w:r>
      <w:r>
        <w:rPr>
          <w:rFonts w:cs="Calibri"/>
          <w:lang w:eastAsia="en-IN"/>
        </w:rPr>
        <w:t>26</w:t>
      </w:r>
      <w:r w:rsidRPr="00963311">
        <w:rPr>
          <w:rFonts w:cs="Calibri"/>
          <w:lang w:eastAsia="en-IN"/>
        </w:rPr>
        <w:t xml:space="preserve"> cm</w:t>
      </w:r>
      <w:r>
        <w:rPr>
          <w:rFonts w:cs="Calibri"/>
          <w:lang w:eastAsia="en-IN"/>
        </w:rPr>
        <w:t>.</w:t>
      </w:r>
      <w:r w:rsidRPr="00963311">
        <w:rPr>
          <w:rFonts w:cs="Calibri"/>
          <w:lang w:eastAsia="en-IN"/>
        </w:rPr>
        <w:t xml:space="preserve"> </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w:t>
      </w:r>
      <w:r w:rsidRPr="00963311">
        <w:rPr>
          <w:rFonts w:cs="Calibri"/>
          <w:lang w:eastAsia="en-IN"/>
        </w:rPr>
        <w:t xml:space="preserve"> </w:t>
      </w:r>
      <w:r>
        <w:rPr>
          <w:rFonts w:cs="Calibri"/>
          <w:lang w:eastAsia="en-IN"/>
        </w:rPr>
        <w:t>come w</w:t>
      </w:r>
      <w:r w:rsidRPr="00963311">
        <w:rPr>
          <w:rFonts w:cs="Calibri"/>
          <w:lang w:eastAsia="en-IN"/>
        </w:rPr>
        <w:t>ith UV protection shield</w:t>
      </w:r>
      <w:r>
        <w:rPr>
          <w:rFonts w:cs="Calibri"/>
          <w:lang w:eastAsia="en-IN"/>
        </w:rPr>
        <w:t>.</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w:t>
      </w:r>
      <w:r w:rsidRPr="00963311">
        <w:rPr>
          <w:rFonts w:cs="Calibri"/>
          <w:lang w:eastAsia="en-IN"/>
        </w:rPr>
        <w:t xml:space="preserve"> </w:t>
      </w:r>
      <w:r>
        <w:rPr>
          <w:rFonts w:cs="Calibri"/>
          <w:lang w:eastAsia="en-IN"/>
        </w:rPr>
        <w:t>have 50 %/100 % intensity switch.</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w:t>
      </w:r>
      <w:r w:rsidRPr="00963311">
        <w:rPr>
          <w:rFonts w:cs="Calibri"/>
          <w:lang w:eastAsia="en-IN"/>
        </w:rPr>
        <w:t xml:space="preserve"> </w:t>
      </w:r>
      <w:r>
        <w:rPr>
          <w:rFonts w:cs="Calibri"/>
          <w:lang w:eastAsia="en-IN"/>
        </w:rPr>
        <w:t>have</w:t>
      </w:r>
      <w:r w:rsidRPr="00963311">
        <w:rPr>
          <w:rFonts w:cs="Calibri"/>
          <w:lang w:eastAsia="en-IN"/>
        </w:rPr>
        <w:t xml:space="preserve"> </w:t>
      </w:r>
      <w:r>
        <w:rPr>
          <w:rFonts w:cs="Calibri"/>
          <w:lang w:eastAsia="en-IN"/>
        </w:rPr>
        <w:t xml:space="preserve">high-grade </w:t>
      </w:r>
      <w:r w:rsidRPr="00963311">
        <w:rPr>
          <w:rFonts w:cs="Calibri"/>
          <w:lang w:eastAsia="en-IN"/>
        </w:rPr>
        <w:t>filter glass</w:t>
      </w:r>
      <w:r>
        <w:rPr>
          <w:rFonts w:cs="Calibri"/>
          <w:lang w:eastAsia="en-IN"/>
        </w:rPr>
        <w:t>.</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W</w:t>
      </w:r>
      <w:r w:rsidRPr="00963311">
        <w:rPr>
          <w:rFonts w:cs="Calibri"/>
          <w:lang w:eastAsia="en-IN"/>
        </w:rPr>
        <w:t xml:space="preserve">avelength </w:t>
      </w:r>
      <w:r>
        <w:rPr>
          <w:rFonts w:cs="Calibri"/>
          <w:lang w:eastAsia="en-IN"/>
        </w:rPr>
        <w:t xml:space="preserve">: 312 nm </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w:t>
      </w:r>
      <w:r w:rsidRPr="00963311">
        <w:rPr>
          <w:rFonts w:cs="Calibri"/>
          <w:lang w:eastAsia="en-IN"/>
        </w:rPr>
        <w:t xml:space="preserve"> </w:t>
      </w:r>
      <w:r>
        <w:rPr>
          <w:rFonts w:cs="Calibri"/>
          <w:lang w:eastAsia="en-IN"/>
        </w:rPr>
        <w:t>have</w:t>
      </w:r>
      <w:r w:rsidRPr="00963311">
        <w:rPr>
          <w:rFonts w:cs="Calibri"/>
          <w:lang w:eastAsia="en-IN"/>
        </w:rPr>
        <w:t xml:space="preserve"> Optimized numbe</w:t>
      </w:r>
      <w:r>
        <w:rPr>
          <w:rFonts w:cs="Calibri"/>
          <w:lang w:eastAsia="en-IN"/>
        </w:rPr>
        <w:t>r of UV bulbs per filter size: 6</w:t>
      </w:r>
      <w:r w:rsidRPr="00963311">
        <w:rPr>
          <w:rFonts w:cs="Calibri"/>
          <w:lang w:eastAsia="en-IN"/>
        </w:rPr>
        <w:t xml:space="preserve"> bulbs</w:t>
      </w:r>
      <w:r>
        <w:rPr>
          <w:rFonts w:cs="Calibri"/>
          <w:lang w:eastAsia="en-IN"/>
        </w:rPr>
        <w:t xml:space="preserve"> or more.</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w:t>
      </w:r>
      <w:r w:rsidRPr="00963311">
        <w:rPr>
          <w:rFonts w:cs="Calibri"/>
          <w:lang w:eastAsia="en-IN"/>
        </w:rPr>
        <w:t xml:space="preserve"> </w:t>
      </w:r>
      <w:r>
        <w:rPr>
          <w:rFonts w:cs="Calibri"/>
          <w:lang w:eastAsia="en-IN"/>
        </w:rPr>
        <w:t>have</w:t>
      </w:r>
      <w:r w:rsidRPr="00963311">
        <w:rPr>
          <w:rFonts w:cs="Calibri"/>
          <w:lang w:eastAsia="en-IN"/>
        </w:rPr>
        <w:t xml:space="preserve"> Built-in diff</w:t>
      </w:r>
      <w:r>
        <w:rPr>
          <w:rFonts w:cs="Calibri"/>
          <w:lang w:eastAsia="en-IN"/>
        </w:rPr>
        <w:t xml:space="preserve">usor and reflector </w:t>
      </w:r>
      <w:proofErr w:type="gramStart"/>
      <w:r>
        <w:rPr>
          <w:rFonts w:cs="Calibri"/>
          <w:lang w:eastAsia="en-IN"/>
        </w:rPr>
        <w:t xml:space="preserve">for </w:t>
      </w:r>
      <w:r w:rsidRPr="00963311">
        <w:rPr>
          <w:rFonts w:cs="Calibri"/>
          <w:lang w:eastAsia="en-IN"/>
        </w:rPr>
        <w:t xml:space="preserve"> homogeneous</w:t>
      </w:r>
      <w:proofErr w:type="gramEnd"/>
      <w:r w:rsidRPr="00963311">
        <w:rPr>
          <w:rFonts w:cs="Calibri"/>
          <w:lang w:eastAsia="en-IN"/>
        </w:rPr>
        <w:t xml:space="preserve"> illumination</w:t>
      </w:r>
      <w:r>
        <w:rPr>
          <w:rFonts w:cs="Calibri"/>
          <w:lang w:eastAsia="en-IN"/>
        </w:rPr>
        <w:t>.</w:t>
      </w:r>
    </w:p>
    <w:p w:rsidR="00CF69DD" w:rsidRPr="00963311" w:rsidRDefault="00CF69DD" w:rsidP="00CF69DD">
      <w:pPr>
        <w:pStyle w:val="ListParagraph"/>
        <w:numPr>
          <w:ilvl w:val="0"/>
          <w:numId w:val="32"/>
        </w:numPr>
        <w:spacing w:before="100" w:beforeAutospacing="1" w:after="100" w:afterAutospacing="1"/>
        <w:rPr>
          <w:rFonts w:cs="Calibri"/>
          <w:lang w:eastAsia="en-IN"/>
        </w:rPr>
      </w:pPr>
      <w:r>
        <w:rPr>
          <w:rFonts w:cs="Calibri"/>
          <w:lang w:eastAsia="en-IN"/>
        </w:rPr>
        <w:t>System should</w:t>
      </w:r>
      <w:r w:rsidRPr="00963311">
        <w:rPr>
          <w:rFonts w:cs="Calibri"/>
          <w:lang w:eastAsia="en-IN"/>
        </w:rPr>
        <w:t xml:space="preserve"> </w:t>
      </w:r>
      <w:r>
        <w:rPr>
          <w:rFonts w:cs="Calibri"/>
          <w:lang w:eastAsia="en-IN"/>
        </w:rPr>
        <w:t>have</w:t>
      </w:r>
      <w:r w:rsidRPr="00963311">
        <w:rPr>
          <w:rFonts w:cs="Calibri"/>
          <w:lang w:eastAsia="en-IN"/>
        </w:rPr>
        <w:t xml:space="preserve"> Temperature-controlled </w:t>
      </w:r>
      <w:proofErr w:type="gramStart"/>
      <w:r w:rsidRPr="00963311">
        <w:rPr>
          <w:rFonts w:cs="Calibri"/>
          <w:lang w:eastAsia="en-IN"/>
        </w:rPr>
        <w:t xml:space="preserve">ventilation </w:t>
      </w:r>
      <w:r>
        <w:rPr>
          <w:rFonts w:cs="Calibri"/>
          <w:lang w:eastAsia="en-IN"/>
        </w:rPr>
        <w:t>.</w:t>
      </w:r>
      <w:proofErr w:type="gramEnd"/>
    </w:p>
    <w:p w:rsidR="00CF69DD" w:rsidRPr="007844C3" w:rsidRDefault="00CF69DD" w:rsidP="00CF69DD">
      <w:pPr>
        <w:pStyle w:val="ListParagraph"/>
        <w:numPr>
          <w:ilvl w:val="0"/>
          <w:numId w:val="32"/>
        </w:numPr>
        <w:spacing w:before="100" w:beforeAutospacing="1" w:after="100" w:afterAutospacing="1"/>
      </w:pPr>
      <w:r w:rsidRPr="00BC7268">
        <w:rPr>
          <w:rFonts w:cs="Calibri"/>
          <w:lang w:eastAsia="en-IN"/>
        </w:rPr>
        <w:t xml:space="preserve">System should have </w:t>
      </w:r>
      <w:proofErr w:type="gramStart"/>
      <w:r w:rsidRPr="00BC7268">
        <w:rPr>
          <w:rFonts w:cs="Calibri"/>
          <w:lang w:eastAsia="en-IN"/>
        </w:rPr>
        <w:t>Electronically</w:t>
      </w:r>
      <w:proofErr w:type="gramEnd"/>
      <w:r w:rsidRPr="00BC7268">
        <w:rPr>
          <w:rFonts w:cs="Calibri"/>
          <w:lang w:eastAsia="en-IN"/>
        </w:rPr>
        <w:t xml:space="preserve"> high frequency operating Lamp circuit </w:t>
      </w:r>
      <w:r>
        <w:rPr>
          <w:rFonts w:cs="Calibri"/>
          <w:lang w:eastAsia="en-IN"/>
        </w:rPr>
        <w:t>for flicker free illumination.</w:t>
      </w:r>
    </w:p>
    <w:p w:rsidR="00CF69DD" w:rsidRDefault="00CF69DD" w:rsidP="00CF69DD">
      <w:pPr>
        <w:pStyle w:val="ListParagraph"/>
        <w:numPr>
          <w:ilvl w:val="0"/>
          <w:numId w:val="32"/>
        </w:numPr>
        <w:spacing w:before="100" w:beforeAutospacing="1" w:after="100" w:afterAutospacing="1"/>
      </w:pPr>
      <w:r>
        <w:rPr>
          <w:rFonts w:cs="Calibri"/>
          <w:lang w:eastAsia="en-IN"/>
        </w:rPr>
        <w:t xml:space="preserve">Optional dual wavelength </w:t>
      </w:r>
      <w:proofErr w:type="spellStart"/>
      <w:r>
        <w:rPr>
          <w:rFonts w:cs="Calibri"/>
          <w:lang w:eastAsia="en-IN"/>
        </w:rPr>
        <w:t>Transilluminator</w:t>
      </w:r>
      <w:proofErr w:type="spellEnd"/>
      <w:r>
        <w:rPr>
          <w:rFonts w:cs="Calibri"/>
          <w:lang w:eastAsia="en-IN"/>
        </w:rPr>
        <w:t xml:space="preserve"> with 302 and 365nm.</w:t>
      </w:r>
    </w:p>
    <w:p w:rsidR="00CF69DD" w:rsidRPr="00312DC4" w:rsidRDefault="00CF69DD" w:rsidP="00CF69DD">
      <w:pPr>
        <w:rPr>
          <w:b/>
          <w:sz w:val="21"/>
          <w:szCs w:val="21"/>
        </w:rPr>
      </w:pPr>
      <w:r w:rsidRPr="00312DC4">
        <w:rPr>
          <w:b/>
          <w:sz w:val="21"/>
          <w:szCs w:val="21"/>
        </w:rPr>
        <w:t>Other Requirements</w:t>
      </w:r>
    </w:p>
    <w:p w:rsidR="00CF69DD" w:rsidRPr="003E1770" w:rsidRDefault="00CF69DD" w:rsidP="00CF69DD">
      <w:pPr>
        <w:pStyle w:val="Default"/>
        <w:numPr>
          <w:ilvl w:val="0"/>
          <w:numId w:val="29"/>
        </w:numPr>
        <w:rPr>
          <w:b/>
          <w:sz w:val="21"/>
          <w:szCs w:val="21"/>
        </w:rPr>
      </w:pPr>
      <w:r w:rsidRPr="003E1770">
        <w:rPr>
          <w:b/>
          <w:sz w:val="21"/>
          <w:szCs w:val="21"/>
        </w:rPr>
        <w:t xml:space="preserve">3 years comprehensive warranty + 2 years free AMC should be mentioned clearly otherwise bid will be rejected. </w:t>
      </w:r>
    </w:p>
    <w:p w:rsidR="00CF69DD" w:rsidRPr="00261C78" w:rsidRDefault="00CF69DD" w:rsidP="00CF69DD">
      <w:pPr>
        <w:pStyle w:val="Default"/>
        <w:numPr>
          <w:ilvl w:val="0"/>
          <w:numId w:val="29"/>
        </w:numPr>
        <w:jc w:val="both"/>
        <w:rPr>
          <w:sz w:val="21"/>
          <w:szCs w:val="21"/>
          <w:lang w:val="en-US"/>
        </w:rPr>
      </w:pPr>
      <w:r w:rsidRPr="003E1770">
        <w:rPr>
          <w:sz w:val="21"/>
          <w:szCs w:val="21"/>
        </w:rPr>
        <w:t xml:space="preserve"> </w:t>
      </w:r>
      <w:r w:rsidRPr="00261C78">
        <w:rPr>
          <w:sz w:val="21"/>
          <w:szCs w:val="21"/>
          <w:lang w:val="en-US"/>
        </w:rPr>
        <w:t xml:space="preserve">Availability of local Service Support and response time for a Service Call during and after warranty to be mentioned. </w:t>
      </w:r>
      <w:r w:rsidRPr="00261C78">
        <w:rPr>
          <w:sz w:val="21"/>
          <w:szCs w:val="21"/>
        </w:rPr>
        <w:t xml:space="preserve"> </w:t>
      </w:r>
    </w:p>
    <w:p w:rsidR="00CF69DD" w:rsidRPr="003E1770" w:rsidRDefault="00CF69DD" w:rsidP="00CF69DD">
      <w:pPr>
        <w:pStyle w:val="Default"/>
        <w:numPr>
          <w:ilvl w:val="0"/>
          <w:numId w:val="29"/>
        </w:numPr>
        <w:rPr>
          <w:sz w:val="21"/>
          <w:szCs w:val="21"/>
        </w:rPr>
      </w:pPr>
      <w:r w:rsidRPr="003E1770">
        <w:rPr>
          <w:sz w:val="21"/>
          <w:szCs w:val="21"/>
        </w:rPr>
        <w:t>Additional features/accessories if any that can potentially increase the productivity of this instrument should be quoted as optional items.</w:t>
      </w:r>
    </w:p>
    <w:p w:rsidR="00CF69DD" w:rsidRPr="00312DC4" w:rsidRDefault="00CF69DD" w:rsidP="00CF69DD">
      <w:pPr>
        <w:pStyle w:val="Default"/>
        <w:ind w:left="720"/>
        <w:rPr>
          <w:sz w:val="21"/>
          <w:szCs w:val="21"/>
        </w:rPr>
      </w:pPr>
    </w:p>
    <w:p w:rsidR="00CF69DD" w:rsidRDefault="00CF69DD" w:rsidP="00CF69DD"/>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Default="00CF69DD" w:rsidP="00CF69DD">
      <w:pPr>
        <w:ind w:firstLine="720"/>
      </w:pPr>
    </w:p>
    <w:p w:rsidR="00CF69DD" w:rsidRPr="003E1770" w:rsidRDefault="00CF69DD" w:rsidP="00CF69DD">
      <w:pPr>
        <w:ind w:firstLine="720"/>
      </w:pPr>
    </w:p>
    <w:p w:rsidR="00AA4264" w:rsidRDefault="00AA4264" w:rsidP="00CF69DD">
      <w:pPr>
        <w:pStyle w:val="Default"/>
        <w:tabs>
          <w:tab w:val="left" w:pos="2565"/>
        </w:tabs>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0C748A" w:rsidRDefault="00676404" w:rsidP="00045E91">
      <w:pPr>
        <w:widowControl w:val="0"/>
        <w:autoSpaceDE w:val="0"/>
        <w:autoSpaceDN w:val="0"/>
        <w:adjustRightInd w:val="0"/>
        <w:ind w:left="3860"/>
        <w:rPr>
          <w:b/>
          <w:lang w:val="en-IN" w:eastAsia="en-IN"/>
        </w:rPr>
      </w:pPr>
      <w:r>
        <w:rPr>
          <w:b/>
          <w:lang w:val="en-IN" w:eastAsia="en-IN"/>
        </w:rPr>
        <w:lastRenderedPageBreak/>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lastRenderedPageBreak/>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8" w:name="page37"/>
      <w:bookmarkEnd w:id="8"/>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9" w:name="page39"/>
      <w:bookmarkStart w:id="10" w:name="page41"/>
      <w:bookmarkEnd w:id="9"/>
      <w:bookmarkEnd w:id="10"/>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7D" w:rsidRDefault="00A7567D" w:rsidP="00AA2AEA">
      <w:r>
        <w:separator/>
      </w:r>
    </w:p>
  </w:endnote>
  <w:endnote w:type="continuationSeparator" w:id="0">
    <w:p w:rsidR="00A7567D" w:rsidRDefault="00A7567D"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A7567D">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7D" w:rsidRDefault="00A7567D" w:rsidP="00AA2AEA">
      <w:r>
        <w:separator/>
      </w:r>
    </w:p>
  </w:footnote>
  <w:footnote w:type="continuationSeparator" w:id="0">
    <w:p w:rsidR="00A7567D" w:rsidRDefault="00A7567D"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A7567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A7567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67DC2AB8"/>
    <w:multiLevelType w:val="multilevel"/>
    <w:tmpl w:val="2C947A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687452"/>
    <w:multiLevelType w:val="hybridMultilevel"/>
    <w:tmpl w:val="741E3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1">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30"/>
  </w:num>
  <w:num w:numId="25">
    <w:abstractNumId w:val="31"/>
  </w:num>
  <w:num w:numId="26">
    <w:abstractNumId w:val="23"/>
  </w:num>
  <w:num w:numId="27">
    <w:abstractNumId w:val="22"/>
  </w:num>
  <w:num w:numId="28">
    <w:abstractNumId w:val="24"/>
  </w:num>
  <w:num w:numId="29">
    <w:abstractNumId w:val="25"/>
  </w:num>
  <w:num w:numId="30">
    <w:abstractNumId w:val="26"/>
  </w:num>
  <w:num w:numId="31">
    <w:abstractNumId w:val="29"/>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748A"/>
    <w:rsid w:val="00113803"/>
    <w:rsid w:val="001221BD"/>
    <w:rsid w:val="0014614E"/>
    <w:rsid w:val="00150A83"/>
    <w:rsid w:val="001742E3"/>
    <w:rsid w:val="00181C1A"/>
    <w:rsid w:val="00254C62"/>
    <w:rsid w:val="002576EB"/>
    <w:rsid w:val="00290CD1"/>
    <w:rsid w:val="00296AE6"/>
    <w:rsid w:val="002C4F9D"/>
    <w:rsid w:val="002F1F8A"/>
    <w:rsid w:val="00327D79"/>
    <w:rsid w:val="00350B64"/>
    <w:rsid w:val="00362911"/>
    <w:rsid w:val="003747B6"/>
    <w:rsid w:val="003778BF"/>
    <w:rsid w:val="003859CA"/>
    <w:rsid w:val="0039280B"/>
    <w:rsid w:val="003A4146"/>
    <w:rsid w:val="003B4EFD"/>
    <w:rsid w:val="003C569B"/>
    <w:rsid w:val="004137B9"/>
    <w:rsid w:val="0043212E"/>
    <w:rsid w:val="00451748"/>
    <w:rsid w:val="00470FC6"/>
    <w:rsid w:val="00485E09"/>
    <w:rsid w:val="004B2C43"/>
    <w:rsid w:val="004C250D"/>
    <w:rsid w:val="004E5A44"/>
    <w:rsid w:val="004F2504"/>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B1877"/>
    <w:rsid w:val="008C4636"/>
    <w:rsid w:val="008E5B9D"/>
    <w:rsid w:val="00901D5D"/>
    <w:rsid w:val="009318D7"/>
    <w:rsid w:val="009620CF"/>
    <w:rsid w:val="009949CB"/>
    <w:rsid w:val="00A06875"/>
    <w:rsid w:val="00A333AB"/>
    <w:rsid w:val="00A6303C"/>
    <w:rsid w:val="00A64CC8"/>
    <w:rsid w:val="00A64DD4"/>
    <w:rsid w:val="00A7567D"/>
    <w:rsid w:val="00AA2AEA"/>
    <w:rsid w:val="00AA4264"/>
    <w:rsid w:val="00AA5640"/>
    <w:rsid w:val="00AE6F0E"/>
    <w:rsid w:val="00AE738E"/>
    <w:rsid w:val="00B02058"/>
    <w:rsid w:val="00B117F5"/>
    <w:rsid w:val="00B12FC8"/>
    <w:rsid w:val="00B159F4"/>
    <w:rsid w:val="00B40F35"/>
    <w:rsid w:val="00BB5627"/>
    <w:rsid w:val="00BF19FA"/>
    <w:rsid w:val="00BF4AA2"/>
    <w:rsid w:val="00C07F0B"/>
    <w:rsid w:val="00C35887"/>
    <w:rsid w:val="00C52C8F"/>
    <w:rsid w:val="00C5682F"/>
    <w:rsid w:val="00C63A9A"/>
    <w:rsid w:val="00C9134A"/>
    <w:rsid w:val="00CB39C3"/>
    <w:rsid w:val="00CE6F30"/>
    <w:rsid w:val="00CF4027"/>
    <w:rsid w:val="00CF69DD"/>
    <w:rsid w:val="00D03C9A"/>
    <w:rsid w:val="00D31DFF"/>
    <w:rsid w:val="00D40D60"/>
    <w:rsid w:val="00D46157"/>
    <w:rsid w:val="00D6050A"/>
    <w:rsid w:val="00D67887"/>
    <w:rsid w:val="00D84262"/>
    <w:rsid w:val="00DA111D"/>
    <w:rsid w:val="00DA1868"/>
    <w:rsid w:val="00DC5DE3"/>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6234">
      <w:bodyDiv w:val="1"/>
      <w:marLeft w:val="0"/>
      <w:marRight w:val="0"/>
      <w:marTop w:val="0"/>
      <w:marBottom w:val="0"/>
      <w:divBdr>
        <w:top w:val="none" w:sz="0" w:space="0" w:color="auto"/>
        <w:left w:val="none" w:sz="0" w:space="0" w:color="auto"/>
        <w:bottom w:val="none" w:sz="0" w:space="0" w:color="auto"/>
        <w:right w:val="none" w:sz="0" w:space="0" w:color="auto"/>
      </w:divBdr>
    </w:div>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64A8-77FE-42D4-ACE1-C6CEE897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9939</Words>
  <Characters>56657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3</cp:revision>
  <dcterms:created xsi:type="dcterms:W3CDTF">2013-07-26T14:00:00Z</dcterms:created>
  <dcterms:modified xsi:type="dcterms:W3CDTF">2013-07-26T14:29:00Z</dcterms:modified>
</cp:coreProperties>
</file>